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E8" w:rsidRPr="00E87807" w:rsidRDefault="004D4BC6" w:rsidP="001719E8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-662033</wp:posOffset>
            </wp:positionH>
            <wp:positionV relativeFrom="paragraph">
              <wp:posOffset>-3471091</wp:posOffset>
            </wp:positionV>
            <wp:extent cx="10605406" cy="10363200"/>
            <wp:effectExtent l="0" t="0" r="0" b="0"/>
            <wp:wrapNone/>
            <wp:docPr id="1" name="Рисунок 0" descr="042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0054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10850" cy="10368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1719E8" w:rsidRPr="00E87807">
        <w:rPr>
          <w:rFonts w:ascii="Times New Roman" w:hAnsi="Times New Roman" w:cs="Times New Roman"/>
          <w:b/>
          <w:color w:val="FF0000"/>
          <w:sz w:val="40"/>
          <w:szCs w:val="40"/>
        </w:rPr>
        <w:t>Консультация для воспитателей</w:t>
      </w:r>
    </w:p>
    <w:p w:rsidR="004A4D71" w:rsidRPr="00E87807" w:rsidRDefault="001719E8" w:rsidP="001719E8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87807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4A4D71" w:rsidRPr="00E87807">
        <w:rPr>
          <w:rFonts w:ascii="Times New Roman" w:hAnsi="Times New Roman" w:cs="Times New Roman"/>
          <w:b/>
          <w:color w:val="FF0000"/>
          <w:sz w:val="40"/>
          <w:szCs w:val="40"/>
        </w:rPr>
        <w:t>Дидактические игры по ознакомлению с окружающим и развитию речи</w:t>
      </w:r>
      <w:r w:rsidRPr="00E87807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1719E8" w:rsidRPr="001719E8" w:rsidRDefault="004A4D71" w:rsidP="001719E8">
      <w:pPr>
        <w:rPr>
          <w:rFonts w:ascii="Times New Roman" w:hAnsi="Times New Roman" w:cs="Times New Roman"/>
          <w:sz w:val="32"/>
          <w:szCs w:val="32"/>
        </w:rPr>
      </w:pPr>
      <w:r w:rsidRPr="001719E8">
        <w:rPr>
          <w:rFonts w:ascii="Times New Roman" w:hAnsi="Times New Roman" w:cs="Times New Roman"/>
          <w:sz w:val="32"/>
          <w:szCs w:val="32"/>
        </w:rPr>
        <w:br/>
      </w:r>
      <w:r w:rsidR="001719E8" w:rsidRPr="001719E8">
        <w:rPr>
          <w:rFonts w:ascii="Times New Roman" w:hAnsi="Times New Roman" w:cs="Times New Roman"/>
          <w:sz w:val="32"/>
          <w:szCs w:val="32"/>
        </w:rPr>
        <w:tab/>
      </w:r>
      <w:r w:rsidRPr="001719E8">
        <w:rPr>
          <w:rFonts w:ascii="Times New Roman" w:hAnsi="Times New Roman" w:cs="Times New Roman"/>
          <w:sz w:val="32"/>
          <w:szCs w:val="32"/>
        </w:rPr>
        <w:t>Программа воспитания в детском саду ставит задачи: расширять представления детей об окружающем, обучать умению наблюдать и выделять характерные признаки в предметах и явлениях, сравнивать их по этим признакам, объединять предметы по группе признаков, развивать способность устанавливать простейшие причинно-следственные связи между явлениями.</w:t>
      </w:r>
      <w:r w:rsidRPr="001719E8">
        <w:rPr>
          <w:rFonts w:ascii="Times New Roman" w:hAnsi="Times New Roman" w:cs="Times New Roman"/>
          <w:sz w:val="32"/>
          <w:szCs w:val="32"/>
        </w:rPr>
        <w:br/>
      </w:r>
      <w:r w:rsidR="001719E8" w:rsidRPr="001719E8">
        <w:rPr>
          <w:rFonts w:ascii="Times New Roman" w:hAnsi="Times New Roman" w:cs="Times New Roman"/>
          <w:sz w:val="32"/>
          <w:szCs w:val="32"/>
        </w:rPr>
        <w:tab/>
      </w:r>
      <w:r w:rsidRPr="001719E8">
        <w:rPr>
          <w:rFonts w:ascii="Times New Roman" w:hAnsi="Times New Roman" w:cs="Times New Roman"/>
          <w:sz w:val="32"/>
          <w:szCs w:val="32"/>
        </w:rPr>
        <w:t>Знакомство с окружающим — одно из средств формирования у детей устной речи. Рассмотрим, как же можно использовать дидактические игры в решении задач ознакомления с окружающим и развития речи детей.</w:t>
      </w:r>
      <w:r w:rsidRPr="001719E8">
        <w:rPr>
          <w:rFonts w:ascii="Times New Roman" w:hAnsi="Times New Roman" w:cs="Times New Roman"/>
          <w:sz w:val="32"/>
          <w:szCs w:val="32"/>
        </w:rPr>
        <w:br/>
      </w:r>
      <w:r w:rsidR="001719E8" w:rsidRPr="001719E8">
        <w:rPr>
          <w:rFonts w:ascii="Times New Roman" w:hAnsi="Times New Roman" w:cs="Times New Roman"/>
          <w:sz w:val="32"/>
          <w:szCs w:val="32"/>
        </w:rPr>
        <w:tab/>
      </w:r>
      <w:r w:rsidRPr="001719E8">
        <w:rPr>
          <w:rFonts w:ascii="Times New Roman" w:hAnsi="Times New Roman" w:cs="Times New Roman"/>
          <w:sz w:val="32"/>
          <w:szCs w:val="32"/>
        </w:rPr>
        <w:t>В дидактических играх создаются такие условия, когда в восприятии предметов участвуют как можно больше анализаторов, когда дети могут посмотреть предмет, потрогать, обследовать рукой, попробовать (фрукты и овощи) и т. д. Таким образом, дидактические игры будут способствовать накапливанию у детей сенсорного опыта.</w:t>
      </w:r>
      <w:r w:rsidR="001719E8" w:rsidRPr="001719E8">
        <w:rPr>
          <w:rFonts w:ascii="Times New Roman" w:hAnsi="Times New Roman" w:cs="Times New Roman"/>
          <w:sz w:val="32"/>
          <w:szCs w:val="32"/>
        </w:rPr>
        <w:t xml:space="preserve"> </w:t>
      </w:r>
      <w:r w:rsidRPr="001719E8">
        <w:rPr>
          <w:rFonts w:ascii="Times New Roman" w:hAnsi="Times New Roman" w:cs="Times New Roman"/>
          <w:sz w:val="32"/>
          <w:szCs w:val="32"/>
        </w:rPr>
        <w:t>В дидактических играх и упражнениях дети подводятся не только к восприятию предмета в целом, но и умению выделять отдельные признаки, качества предмета, отношения одних предметов к другим, к умению выразить это в речи.</w:t>
      </w:r>
      <w:r w:rsidR="001719E8" w:rsidRPr="001719E8">
        <w:rPr>
          <w:rFonts w:ascii="Times New Roman" w:hAnsi="Times New Roman" w:cs="Times New Roman"/>
          <w:sz w:val="32"/>
          <w:szCs w:val="32"/>
        </w:rPr>
        <w:t xml:space="preserve"> Знакомя детей в игре с формой, цветом, величиной предметов, необходимо включить новое понятие — цвет (например, различать шары и по цвету).</w:t>
      </w:r>
      <w:r w:rsidR="001719E8" w:rsidRPr="001719E8">
        <w:rPr>
          <w:rFonts w:ascii="Times New Roman" w:hAnsi="Times New Roman" w:cs="Times New Roman"/>
          <w:sz w:val="32"/>
          <w:szCs w:val="32"/>
        </w:rPr>
        <w:br/>
      </w:r>
      <w:r w:rsidR="001719E8" w:rsidRPr="001719E8">
        <w:rPr>
          <w:rFonts w:ascii="Times New Roman" w:hAnsi="Times New Roman" w:cs="Times New Roman"/>
          <w:sz w:val="32"/>
          <w:szCs w:val="32"/>
        </w:rPr>
        <w:tab/>
        <w:t>Однако необходимо помнить, что различение формы, величины, цвета, понимание слова и соотнесение его к предмету, объединение слова и представления для детей младшего  возраста — сложная умственная деятельность, поэтому не следует перегружать детей. </w:t>
      </w:r>
    </w:p>
    <w:p w:rsidR="00072366" w:rsidRPr="001719E8" w:rsidRDefault="004A4D71" w:rsidP="001719E8">
      <w:pPr>
        <w:rPr>
          <w:rFonts w:ascii="Times New Roman" w:hAnsi="Times New Roman" w:cs="Times New Roman"/>
          <w:sz w:val="32"/>
          <w:szCs w:val="32"/>
        </w:rPr>
      </w:pPr>
      <w:r w:rsidRPr="001719E8">
        <w:rPr>
          <w:rFonts w:ascii="Times New Roman" w:hAnsi="Times New Roman" w:cs="Times New Roman"/>
          <w:sz w:val="32"/>
          <w:szCs w:val="32"/>
        </w:rPr>
        <w:br/>
      </w:r>
    </w:p>
    <w:sectPr w:rsidR="00072366" w:rsidRPr="001719E8" w:rsidSect="001719E8">
      <w:pgSz w:w="16838" w:h="11906" w:orient="landscape" w:code="9"/>
      <w:pgMar w:top="85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A4D71"/>
    <w:rsid w:val="00072366"/>
    <w:rsid w:val="001719E8"/>
    <w:rsid w:val="004A4D71"/>
    <w:rsid w:val="004D4BC6"/>
    <w:rsid w:val="0071765C"/>
    <w:rsid w:val="007E1989"/>
    <w:rsid w:val="00BD77C9"/>
    <w:rsid w:val="00C7092B"/>
    <w:rsid w:val="00E8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9E8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unhideWhenUsed/>
    <w:rsid w:val="00E87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E87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САД</cp:lastModifiedBy>
  <cp:revision>3</cp:revision>
  <dcterms:created xsi:type="dcterms:W3CDTF">2016-04-04T09:53:00Z</dcterms:created>
  <dcterms:modified xsi:type="dcterms:W3CDTF">2016-04-04T10:26:00Z</dcterms:modified>
</cp:coreProperties>
</file>